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ageBreakBefore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</w:t>
      </w:r>
    </w:p>
    <w:p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техническое обслуживание инженерных систем и оборудования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Перечень основных услуг по комплексному техническому обслуживанию</w:t>
      </w:r>
    </w:p>
    <w:p>
      <w:pPr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Перечень основных сетей и систем, подлежащих техническому обслуживанию:</w:t>
      </w:r>
    </w:p>
    <w:p>
      <w:pPr>
        <w:numPr>
          <w:ilvl w:val="1"/>
          <w:numId w:val="7"/>
        </w:numPr>
        <w:tabs>
          <w:tab w:val="left" w:pos="1080"/>
        </w:tabs>
        <w:spacing w:after="0" w:line="240" w:lineRule="auto"/>
        <w:ind w:right="-95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вентиляции и кондиционирования воздуха.</w:t>
      </w:r>
    </w:p>
    <w:p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теплоснабжения.</w:t>
      </w:r>
    </w:p>
    <w:p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холодного и горячего водоснабжения.</w:t>
      </w:r>
    </w:p>
    <w:p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канализации, дренажа.</w:t>
      </w:r>
    </w:p>
    <w:p>
      <w:pPr>
        <w:numPr>
          <w:ilvl w:val="1"/>
          <w:numId w:val="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электроснабжения и освещения.</w:t>
      </w:r>
    </w:p>
    <w:p>
      <w:pPr>
        <w:pStyle w:val="af0"/>
        <w:numPr>
          <w:ilvl w:val="1"/>
          <w:numId w:val="41"/>
        </w:numPr>
        <w:tabs>
          <w:tab w:val="left" w:pos="1080"/>
        </w:tabs>
        <w:jc w:val="both"/>
        <w:rPr>
          <w:color w:val="70AD47" w:themeColor="accent6"/>
          <w:sz w:val="24"/>
          <w:szCs w:val="24"/>
        </w:rPr>
      </w:pPr>
      <w:r>
        <w:rPr>
          <w:sz w:val="24"/>
          <w:szCs w:val="24"/>
        </w:rPr>
        <w:t xml:space="preserve">    Обеспечение производства работ запасными частями, расходными материалами; </w:t>
      </w:r>
    </w:p>
    <w:p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Погрузочно-разгрузочные работы</w:t>
      </w:r>
    </w:p>
    <w:p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Проведение текущего ремонта мебели, штор, замков, дверей, кулеров, шредеров и т.п.</w:t>
      </w:r>
    </w:p>
    <w:p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Прием Заявок по локализации и устранению неполадок, аварий   по будням с 8.00 до 18.00</w:t>
      </w:r>
      <w:r>
        <w:rPr>
          <w:color w:val="70AD47" w:themeColor="accent6"/>
          <w:sz w:val="24"/>
          <w:szCs w:val="24"/>
        </w:rPr>
        <w:t>.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Предоставление перечня работ (услуг) по техническому обслуживанию, текущему ремонту инженерных систем и санитарно-технического оборудования за месяц по форме Приложения №3 к Договору.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ОБСЛУЖИВАНИЕ</w:t>
      </w:r>
    </w:p>
    <w:p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Технические характеристики обслуживаемых помещений и оборудования.</w:t>
      </w:r>
    </w:p>
    <w:p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>
        <w:trPr>
          <w:trHeight w:val="456"/>
        </w:trPr>
        <w:tc>
          <w:tcPr>
            <w:tcW w:w="336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378" w:type="dxa"/>
            <w:vAlign w:val="center"/>
          </w:tcPr>
          <w:p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 Москва, 4-й Лесной переулок, дом 4, 11 этаж БЦ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White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Stone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Зданий</w:t>
            </w:r>
          </w:p>
        </w:tc>
        <w:tc>
          <w:tcPr>
            <w:tcW w:w="6378" w:type="dxa"/>
            <w:vAlign w:val="center"/>
          </w:tcPr>
          <w:p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Помещения в офисном Здании – 2634,9 м2</w:t>
            </w:r>
          </w:p>
        </w:tc>
      </w:tr>
      <w:tr>
        <w:trPr>
          <w:trHeight w:val="559"/>
        </w:trP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теплоснабжения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Радиаторы отопления 115 комплекта</w:t>
            </w:r>
          </w:p>
        </w:tc>
      </w:tr>
      <w:tr>
        <w:trPr>
          <w:trHeight w:val="1262"/>
        </w:trP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вентиляция установлена на 11 этаже офисного здания, фанкойлы - 59 шт. Кондиционеры сплит 5-10кВТ по холоду - 6 шт.  Кондиционер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мультисплит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внутренних блока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FXQ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холоду -1шт.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электроснабжение и освещения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Установленная мощность 251,5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электрощитовых - 8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узлов учета электроэнергии - 20 шт., электрощитов - 22 шт.</w:t>
            </w:r>
          </w:p>
        </w:tc>
      </w:tr>
      <w:tr>
        <w:trPr>
          <w:trHeight w:val="437"/>
        </w:trP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холодного и горячего водоснабжения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стояка и горизонтальная разводка по этажам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канализации, дренажа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локальной фекальной канализации, включая 10 установок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Sololift</w:t>
            </w:r>
            <w:proofErr w:type="spellEnd"/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погрузка и отгрузка товарно-материальных ценностей; прием и расстановка по месту расположения кулеров бутылей с водой, сбор пустых пластиковых бутылей.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Сборка, разборка мебели с расстановкой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  <w:tr>
        <w:tc>
          <w:tcPr>
            <w:tcW w:w="336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ремонт мебели, штор, замков, дверей, кулеров, шредеров.</w:t>
            </w:r>
          </w:p>
        </w:tc>
        <w:tc>
          <w:tcPr>
            <w:tcW w:w="637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ОСНОВНЫЕ ТРЕБОВАНИЯ К КОМПЛЕКСНОМУ ТЕХНИЧЕСКОМУ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ОБСЛУЖИВАНИЮ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аттестации у сотрудников по всем видам деятельности на момент подписания Договора. Аттестация должна быть подтверждена удостоверениями установленной формы.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дневного дежурства на объекте с</w:t>
      </w: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8.00 до 18.00 по будням</w:t>
      </w: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>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постоянного достаточного (не менее 4 человек) количества квалифицированного инженерно-технического состава на объекте в течении рабочего дня.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Обеспечение возможность вызова квалифицированных сотрудников для локализации возможных неполадок и их устранения круглосуточно в течение 2-х часов (аварийная бригада).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систематический мониторинг технического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Систем объекта и вести соответствующую документацию, согласованную с Заказчиком. Работы в рамках мониторинга Систем включают: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состояния Систем посредством осмотра;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протоколов состояния и эксплуатационных параметров;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сигналов о неполадках;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реагирование на сигналы о неполадках в Системах;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ремонт неисправного оборудования.</w:t>
      </w:r>
    </w:p>
    <w:p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Заказчику отчеты по действиям персонала, связанные с ликвидацией аварийных ситуаций.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Незамедлительное информирование Заказчика об обнаруженных недостатках в работе инженерных систем.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 проведением планово-предупредительных, текущих и аварийных ремонтов инженерных систем.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технических регламентов ПУЭ при выполнении работ по техническому обслуживанию.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Контролирование соответствия показателей воздушной среды в помещениях с учетом Санитарных норм и проектной документации.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Контролирование графика проведение плановых и внеплановых электроизмерительных работ.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обслуживания и ремонта дверей, входных групп.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различного мелкого ремонта по указанию Заказчика за счет эксплуатирующей организации.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оказания услуг необходимым количеством ремонтных материалов, оборудования, изделий, запасных частей, расходных материалов, а также других предметов (</w:t>
      </w:r>
      <w:r>
        <w:rPr>
          <w:rFonts w:ascii="Times New Roman" w:eastAsia="Calibri" w:hAnsi="Times New Roman" w:cs="Times New Roman"/>
        </w:rPr>
        <w:t>лампы, крепежный материал, запчасти стоимостью до 30 000,00 рублей в месяц)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потребность в которых возникает в процессе эксплуатации. 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оказания услуг собственными инструментами, оборудованием, приборами, инвентарем, мобильной связью, специальной одеждой.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контролирующими органами, выполнение предписаний.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Контролирование и соблюдение государственных нормативов и требований городских и иных контролирующих органов.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right="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распоряжению и согласованию Заказчика осуществление подбора подрядных организаций для выполнения специализированных и иных работ. Соблюдение норм и правил Техники безопасности и охраны труда при производстве работ.</w:t>
      </w:r>
    </w:p>
    <w:p>
      <w:pPr>
        <w:numPr>
          <w:ilvl w:val="0"/>
          <w:numId w:val="1"/>
        </w:numPr>
        <w:tabs>
          <w:tab w:val="clear" w:pos="9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проведении мероприятий по техобслуживанию механических и электрических систем Объекта осуществление их с минимальными неудобствами в отношении работы сотрудников Заказчика.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ПЕРЕЧЕНЬ ОСНОВНЫХ УСЛУГ ПО ТЕХНИЧЕСКОМУ ОБСЛУЖИВАНИЮ</w:t>
      </w:r>
    </w:p>
    <w:p>
      <w:pPr>
        <w:tabs>
          <w:tab w:val="left" w:pos="1080"/>
        </w:tabs>
        <w:spacing w:before="180" w:after="120" w:line="240" w:lineRule="auto"/>
        <w:ind w:right="-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     Инженерные сети, оборудование.</w:t>
      </w:r>
    </w:p>
    <w:p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Проверка наличия копий исполнительной документации, далее ИД.  </w:t>
      </w:r>
    </w:p>
    <w:p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 Ведение эксплуатационной документации.</w:t>
      </w:r>
    </w:p>
    <w:p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Выполнение требований ПУЭ, МПТБ, СНиП, Госстандартов и другой нормативной документации при техническом обслуживании, монтаже и наладке оборудования.</w:t>
      </w:r>
    </w:p>
    <w:p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 Участие в приеме инженерных сетей и оборудования в эксплуатацию.</w:t>
      </w:r>
    </w:p>
    <w:p>
      <w:pPr>
        <w:tabs>
          <w:tab w:val="left" w:pos="720"/>
          <w:tab w:val="left" w:pos="1080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  Система теплоснабжения. 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 Техническое обслуживание запорной и регулирующей арматуры, трубопроводов системы отопления и ГВС (осмотр, проверка технического состояния, регулировка и наладка, подтяжка болтовых креплений, очистка, смазка, устранение мелких дефектов, подкраска, восстановление теплоизоляции).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 Техническое обслуживание оборудования радиаторного отопления.</w:t>
      </w:r>
    </w:p>
    <w:p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    Система водоснабжения, канализации, дренажа.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Техническое контролирование и надзор за пользованием воды, учет количества потребляемой и отводимой воды, устранение утечек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 Обеспечение бесперебойного отвода фекальных и сточных вод.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Техническое обслуживание внутренних сетей водопровода и канализации (осмотр, проверка технического состояния, регулировка и наладка, подтяжка болтовых креплений, очистка, смазка, устранение мелких дефектов, подкраска, очистка фильтров и т.п.)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2.3.5. Текущий ремонт (замена смазки, промывка, наладка расходов и напоров, замена изношенных частей и оборудования и т.п.):</w:t>
      </w:r>
    </w:p>
    <w:p>
      <w:pPr>
        <w:numPr>
          <w:ilvl w:val="0"/>
          <w:numId w:val="5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холодного водоснабжения (ХВС)</w:t>
      </w:r>
    </w:p>
    <w:p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горячего водоснабжения (ГВС)</w:t>
      </w:r>
    </w:p>
    <w:p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фекальной канализации</w:t>
      </w:r>
    </w:p>
    <w:p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     Система электроснабжения и освещения.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Учет расхода электроэнергии, проверка фактического расхода и качества электроэнергии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Техническое обслуживание вводных шкафов и вводно-распределительных устройств с установленной в них аппаратурой защиты, контроля и управления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 Техническое обслуживание электрооборудования всех помещений (устранение дефектов и неисправностей на световых приборах и установочной аппаратуре).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2.4.4. Замена ламп внутреннего освещения, а также их утилизация за счет Исполнителя в специализированной организации. 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2.4.5. Замена бактерицидных ламп в облучателях (ДЕЗАР-2: 3 прибора,  ДЕЗАР-5: 4 прибора, ДЕЗАР-7: 12 приборов), а также их утилизация за счет Исполнителя в специализированной организации.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2.4.6. Техническое обслуживание силовых и осветительных установок, установок автоматизации систем теплоснабжения, вентиляции, водоснабжения.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2.4.7. Техническое обслуживание щитков и шкафов,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электроустановочными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2.4.8.    Организация электротехнических испытаний и измерений в установленном порядке.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2.4.9. Техническое обслуживание (осмотр, устранение мелких дефектов, нанесение поясняющих надписей, протирка пыли и т.п.) кабельных линий.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       Системы приточно-вытяжной вентиляции и кондиционирования воздуха.</w:t>
      </w:r>
    </w:p>
    <w:p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2.5.1. Проверка соответствия производительности систем расчетным данным при различных режимах работы систем. Проверка на соответствие проектным параметрам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воздушной среды. При обнаружении несоответствия- доводить до сведения Заказчика и инженерный состав эксплуатации здания.</w:t>
      </w:r>
    </w:p>
    <w:p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2.5.2.   Регулирование систем производительности по воздуху, определенным санитарными правилами и спецификациями помещений.</w:t>
      </w:r>
    </w:p>
    <w:p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2.5.3. Устранение ненормальных шумов, вибраций и подсосов, положений шиберных заслонок и дросселирующих клапанов.</w:t>
      </w:r>
    </w:p>
    <w:p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2.5.4.  Техническое обслуживание в соответствии с техническими регламентами (осмотр, крепления узлов и деталей, устранение загрязненности секций кондиционеров, фильтров, проверка тепловой изоляции и герметичности калориферов, мягких вставок, соединений трубопроводов, смазка и т.п.):</w:t>
      </w:r>
    </w:p>
    <w:p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общеобменной приточно-вытяжной вентиляции,</w:t>
      </w:r>
    </w:p>
    <w:p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кондиционеров, 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2.5.5.  Текущий ремонт (замена выработавшихся узлов и деталей, замена мягких вставок, фильтров, разрушившейся теплоизоляции, запорно-регулирующей аппаратуры, проверка работоспособности шиберных заслонок, дросселирующих клапанов, восстановление лакокрасочных покрытий, проверка производительности и регулировки, промывка водяных систем):</w:t>
      </w:r>
    </w:p>
    <w:p>
      <w:pPr>
        <w:tabs>
          <w:tab w:val="left" w:pos="1260"/>
          <w:tab w:val="left" w:pos="6521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общеобменной приточно-вытяжной вентиляции,</w:t>
      </w:r>
    </w:p>
    <w:p>
      <w:p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кондиционеров, </w:t>
      </w:r>
    </w:p>
    <w:p>
      <w:pPr>
        <w:tabs>
          <w:tab w:val="left" w:pos="108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      Системы автоматики, контроля и измерений.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Техническое обслуживание контрольно-измерительных приборов систем автоматики (уборка щитов, приборов и элементов автоматики от пыли и загрязнений; продувка фильтров воздухом; протирка техническим спиртом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электроконтактов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 и разъемов и т.д.).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Поверка контрольно-измерительных приборов систем автоматики.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2.6.3. Выявление и устранение неисправностей, включая программное обеспечение.</w:t>
      </w:r>
    </w:p>
    <w:p>
      <w:pPr>
        <w:tabs>
          <w:tab w:val="left" w:pos="360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    Общестроительные работы.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Мелкий ремонт дверей, их арматуры (замков, петель, доводчиков, ограничителей). 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Мелкий ремонт полов, стен, потолков, фасадов, входных групп.</w:t>
      </w:r>
    </w:p>
    <w:p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2.7.3. Мелкий ремонт мебели.</w:t>
      </w:r>
    </w:p>
    <w:p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2.8.     Менеджмент технической документации.</w:t>
      </w:r>
    </w:p>
    <w:p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2.8.1. Хранение всей переданной Заказчиком проектную и исполнительную документацию (копии), внесение изменений в соответствие фактическому состоянию технических систем, конструктивных и планировочных решений.</w:t>
      </w:r>
    </w:p>
    <w:p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ПРИМЕЧАНИЯ:</w:t>
      </w:r>
    </w:p>
    <w:p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каждому виду оборудования, на все виды обслуживания должны быть составлены планы проведения ППР систем (Дополнение к техническому заданию №1).</w:t>
      </w:r>
    </w:p>
    <w:p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 о проведенных видах технического обслуживания (ППР) оборудования должны делаться в месячных и годовых планах ТО (ППР).</w:t>
      </w:r>
    </w:p>
    <w:p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испытаний и измерений должны отражаться в протоколах установленной формы.</w:t>
      </w:r>
    </w:p>
    <w:p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услуг по техническому обслуживанию инженерного комплекса должно быть обязательным для всех работников обслуживающей организации соблюдение мер Техники Безопасности и Пожарной Безопасности на объекте.</w:t>
      </w:r>
    </w:p>
    <w:p>
      <w:pPr>
        <w:tabs>
          <w:tab w:val="left" w:pos="1080"/>
        </w:tabs>
        <w:spacing w:after="0" w:line="240" w:lineRule="auto"/>
        <w:ind w:left="758" w:right="-1"/>
        <w:jc w:val="both"/>
      </w:pPr>
    </w:p>
    <w:p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Начальник Управления делами </w:t>
      </w:r>
    </w:p>
    <w:p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А.А. Пидченко  </w:t>
      </w:r>
    </w:p>
    <w:p>
      <w:pPr>
        <w:tabs>
          <w:tab w:val="left" w:pos="1080"/>
        </w:tabs>
        <w:spacing w:after="0" w:line="240" w:lineRule="auto"/>
        <w:ind w:left="758" w:right="-1"/>
        <w:jc w:val="right"/>
      </w:pPr>
    </w:p>
    <w:p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  </w:t>
      </w:r>
      <w:r>
        <w:rPr>
          <w:rFonts w:ascii="Arial" w:hAnsi="Arial" w:cs="Arial"/>
        </w:rPr>
        <w:t>апрель</w:t>
      </w:r>
      <w:r>
        <w:t xml:space="preserve">  2026 г.</w:t>
      </w:r>
    </w:p>
    <w:sectPr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8"/>
      <w:framePr w:wrap="around" w:vAnchor="text" w:hAnchor="margin" w:xAlign="right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>
      <w:rPr>
        <w:rStyle w:val="a7"/>
        <w:sz w:val="28"/>
        <w:szCs w:val="28"/>
      </w:rPr>
      <w:fldChar w:fldCharType="end"/>
    </w:r>
  </w:p>
  <w:p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FA28545C"/>
    <w:lvl w:ilvl="0" w:tplc="C52CCF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B96E30"/>
    <w:multiLevelType w:val="multilevel"/>
    <w:tmpl w:val="0BB0C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6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45040A"/>
    <w:multiLevelType w:val="hybridMultilevel"/>
    <w:tmpl w:val="72B4CB46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6"/>
  </w:num>
  <w:num w:numId="11">
    <w:abstractNumId w:val="13"/>
  </w:num>
  <w:num w:numId="12">
    <w:abstractNumId w:val="28"/>
  </w:num>
  <w:num w:numId="13">
    <w:abstractNumId w:val="20"/>
  </w:num>
  <w:num w:numId="14">
    <w:abstractNumId w:val="38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EBAFB-C22A-44A1-9807-815046DD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</w:style>
  <w:style w:type="paragraph" w:styleId="a3">
    <w:name w:val="Body Text Indent"/>
    <w:basedOn w:val="a"/>
    <w:link w:val="a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</w:style>
  <w:style w:type="paragraph" w:styleId="a8">
    <w:name w:val="header"/>
    <w:aliases w:val="h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Pr>
      <w:b/>
      <w:bCs/>
    </w:rPr>
  </w:style>
  <w:style w:type="paragraph" w:styleId="ae">
    <w:name w:val="Balloon Text"/>
    <w:basedOn w:val="a"/>
    <w:link w:val="af"/>
    <w:uiPriority w:val="99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</w:style>
  <w:style w:type="table" w:styleId="-1">
    <w:name w:val="Table Web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Pr>
      <w:sz w:val="16"/>
      <w:szCs w:val="16"/>
    </w:rPr>
  </w:style>
  <w:style w:type="paragraph" w:styleId="af4">
    <w:name w:val="annotation text"/>
    <w:basedOn w:val="a"/>
    <w:link w:val="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Pr>
      <w:b/>
      <w:bCs/>
    </w:rPr>
  </w:style>
  <w:style w:type="character" w:customStyle="1" w:styleId="af7">
    <w:name w:val="Тема примечания Знак"/>
    <w:basedOn w:val="af5"/>
    <w:link w:val="a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1">
    <w:name w:val="Знак Знак4 Знак Знак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Pr>
      <w:color w:val="0000FF"/>
      <w:u w:val="single"/>
    </w:rPr>
  </w:style>
  <w:style w:type="paragraph" w:customStyle="1" w:styleId="af9">
    <w:name w:val="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</w:style>
  <w:style w:type="paragraph" w:customStyle="1" w:styleId="SerjoshaSurzhin">
    <w:name w:val="Serjosha_Surzhin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</w:style>
  <w:style w:type="numbering" w:customStyle="1" w:styleId="111">
    <w:name w:val="Нет списка111"/>
    <w:next w:val="a2"/>
    <w:uiPriority w:val="99"/>
    <w:semiHidden/>
    <w:unhideWhenUsed/>
  </w:style>
  <w:style w:type="paragraph" w:customStyle="1" w:styleId="afc">
    <w:basedOn w:val="a"/>
    <w:next w:val="afd"/>
    <w:link w:val="afe"/>
    <w:qFormat/>
    <w:pPr>
      <w:tabs>
        <w:tab w:val="left" w:pos="-284"/>
      </w:tabs>
      <w:spacing w:after="0" w:line="240" w:lineRule="auto"/>
      <w:ind w:left="-284"/>
      <w:jc w:val="center"/>
    </w:pPr>
    <w:rPr>
      <w:b/>
      <w:sz w:val="24"/>
      <w:lang w:val="x-none" w:eastAsia="x-none"/>
    </w:rPr>
  </w:style>
  <w:style w:type="character" w:customStyle="1" w:styleId="afe">
    <w:name w:val="Название Знак"/>
    <w:link w:val="afc"/>
    <w:rPr>
      <w:b/>
      <w:sz w:val="24"/>
      <w:lang w:val="x-none" w:eastAsia="x-none"/>
    </w:rPr>
  </w:style>
  <w:style w:type="paragraph" w:customStyle="1" w:styleId="15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Pr>
      <w:rFonts w:ascii="Arial" w:hAnsi="Arial" w:cs="Arial" w:hint="default"/>
      <w:color w:val="000080"/>
    </w:rPr>
  </w:style>
  <w:style w:type="character" w:styleId="aff1">
    <w:name w:val="footnote reference"/>
    <w:rPr>
      <w:vertAlign w:val="superscript"/>
    </w:rPr>
  </w:style>
  <w:style w:type="paragraph" w:styleId="aff2">
    <w:name w:val="List"/>
    <w:basedOn w:val="a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</w:style>
  <w:style w:type="paragraph" w:styleId="HTML">
    <w:name w:val="HTML Preformatted"/>
    <w:basedOn w:val="a"/>
    <w:link w:val="HTML0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</w:style>
  <w:style w:type="paragraph" w:styleId="afff1">
    <w:name w:val="endnote text"/>
    <w:basedOn w:val="a"/>
    <w:link w:val="afff2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Pr>
      <w:vertAlign w:val="superscript"/>
    </w:rPr>
  </w:style>
  <w:style w:type="numbering" w:customStyle="1" w:styleId="1111">
    <w:name w:val="Нет списка1111"/>
    <w:next w:val="a2"/>
    <w:semiHidden/>
  </w:style>
  <w:style w:type="numbering" w:customStyle="1" w:styleId="11111">
    <w:name w:val="Нет списка11111"/>
    <w:next w:val="a2"/>
    <w:semiHidden/>
  </w:style>
  <w:style w:type="numbering" w:customStyle="1" w:styleId="211">
    <w:name w:val="Нет списка21"/>
    <w:next w:val="a2"/>
    <w:semiHidden/>
  </w:style>
  <w:style w:type="numbering" w:customStyle="1" w:styleId="310">
    <w:name w:val="Нет списка31"/>
    <w:next w:val="a2"/>
    <w:semiHidden/>
  </w:style>
  <w:style w:type="numbering" w:customStyle="1" w:styleId="43">
    <w:name w:val="Нет списка4"/>
    <w:next w:val="a2"/>
    <w:semiHidden/>
  </w:style>
  <w:style w:type="numbering" w:customStyle="1" w:styleId="120">
    <w:name w:val="Нет списка12"/>
    <w:next w:val="a2"/>
    <w:semiHidden/>
  </w:style>
  <w:style w:type="numbering" w:customStyle="1" w:styleId="2110">
    <w:name w:val="Нет списка211"/>
    <w:next w:val="a2"/>
    <w:semiHidden/>
  </w:style>
  <w:style w:type="numbering" w:customStyle="1" w:styleId="311">
    <w:name w:val="Нет списка311"/>
    <w:next w:val="a2"/>
    <w:semiHidden/>
  </w:style>
  <w:style w:type="numbering" w:customStyle="1" w:styleId="51">
    <w:name w:val="Нет списка5"/>
    <w:next w:val="a2"/>
    <w:uiPriority w:val="99"/>
    <w:semiHidden/>
    <w:unhideWhenUsed/>
  </w:style>
  <w:style w:type="paragraph" w:styleId="afff4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</w:style>
  <w:style w:type="character" w:styleId="afff5">
    <w:name w:val="FollowedHyperlink"/>
    <w:uiPriority w:val="99"/>
    <w:unhideWhenUsed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28">
    <w:name w:val="Сетка таблицы2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</w:style>
  <w:style w:type="numbering" w:customStyle="1" w:styleId="1112">
    <w:name w:val="Нет списка1112"/>
    <w:next w:val="a2"/>
    <w:semiHidden/>
  </w:style>
  <w:style w:type="numbering" w:customStyle="1" w:styleId="220">
    <w:name w:val="Нет списка22"/>
    <w:next w:val="a2"/>
    <w:semiHidden/>
  </w:style>
  <w:style w:type="numbering" w:customStyle="1" w:styleId="320">
    <w:name w:val="Нет списка32"/>
    <w:next w:val="a2"/>
    <w:semiHidden/>
  </w:style>
  <w:style w:type="numbering" w:customStyle="1" w:styleId="410">
    <w:name w:val="Нет списка41"/>
    <w:next w:val="a2"/>
    <w:semiHidden/>
  </w:style>
  <w:style w:type="numbering" w:customStyle="1" w:styleId="121">
    <w:name w:val="Нет списка121"/>
    <w:next w:val="a2"/>
    <w:semiHidden/>
  </w:style>
  <w:style w:type="numbering" w:customStyle="1" w:styleId="212">
    <w:name w:val="Нет списка212"/>
    <w:next w:val="a2"/>
    <w:semiHidden/>
  </w:style>
  <w:style w:type="numbering" w:customStyle="1" w:styleId="312">
    <w:name w:val="Нет списка312"/>
    <w:next w:val="a2"/>
    <w:semiHidden/>
  </w:style>
  <w:style w:type="numbering" w:customStyle="1" w:styleId="510">
    <w:name w:val="Нет списка51"/>
    <w:next w:val="a2"/>
    <w:uiPriority w:val="99"/>
    <w:semiHidden/>
    <w:unhideWhenUsed/>
  </w:style>
  <w:style w:type="numbering" w:customStyle="1" w:styleId="11112">
    <w:name w:val="Нет списка11112"/>
    <w:next w:val="a2"/>
    <w:semiHidden/>
  </w:style>
  <w:style w:type="paragraph" w:styleId="afd">
    <w:name w:val="Title"/>
    <w:basedOn w:val="a"/>
    <w:next w:val="a"/>
    <w:link w:val="aff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Заголовок Знак"/>
    <w:basedOn w:val="a0"/>
    <w:link w:val="a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71">
    <w:name w:val="Нет списка7"/>
    <w:next w:val="a2"/>
    <w:semiHidden/>
  </w:style>
  <w:style w:type="table" w:customStyle="1" w:styleId="39">
    <w:name w:val="Сетка таблицы3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-11">
    <w:name w:val="Веб-таблица 11"/>
    <w:basedOn w:val="a1"/>
    <w:next w:val="-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4">
    <w:name w:val="Знак Знак4 Знак Знак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afff7">
    <w:name w:val="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30">
    <w:name w:val="Нет списка23"/>
    <w:next w:val="a2"/>
    <w:uiPriority w:val="99"/>
    <w:semiHidden/>
    <w:unhideWhenUsed/>
  </w:style>
  <w:style w:type="numbering" w:customStyle="1" w:styleId="330">
    <w:name w:val="Нет списка33"/>
    <w:next w:val="a2"/>
    <w:uiPriority w:val="99"/>
    <w:semiHidden/>
    <w:unhideWhenUsed/>
  </w:style>
  <w:style w:type="numbering" w:customStyle="1" w:styleId="113">
    <w:name w:val="Нет списка113"/>
    <w:next w:val="a2"/>
    <w:uiPriority w:val="99"/>
    <w:semiHidden/>
    <w:unhideWhenUsed/>
  </w:style>
  <w:style w:type="paragraph" w:customStyle="1" w:styleId="afff8">
    <w:basedOn w:val="a"/>
    <w:next w:val="afd"/>
    <w:qFormat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customStyle="1" w:styleId="114">
    <w:name w:val="Сетка таблицы1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semiHidden/>
  </w:style>
  <w:style w:type="numbering" w:customStyle="1" w:styleId="11113">
    <w:name w:val="Нет списка11113"/>
    <w:next w:val="a2"/>
    <w:semiHidden/>
  </w:style>
  <w:style w:type="numbering" w:customStyle="1" w:styleId="213">
    <w:name w:val="Нет списка213"/>
    <w:next w:val="a2"/>
    <w:semiHidden/>
  </w:style>
  <w:style w:type="numbering" w:customStyle="1" w:styleId="313">
    <w:name w:val="Нет списка313"/>
    <w:next w:val="a2"/>
    <w:semiHidden/>
  </w:style>
  <w:style w:type="numbering" w:customStyle="1" w:styleId="420">
    <w:name w:val="Нет списка42"/>
    <w:next w:val="a2"/>
    <w:semiHidden/>
  </w:style>
  <w:style w:type="numbering" w:customStyle="1" w:styleId="122">
    <w:name w:val="Нет списка122"/>
    <w:next w:val="a2"/>
    <w:semiHidden/>
  </w:style>
  <w:style w:type="numbering" w:customStyle="1" w:styleId="2111">
    <w:name w:val="Нет списка2111"/>
    <w:next w:val="a2"/>
    <w:semiHidden/>
  </w:style>
  <w:style w:type="numbering" w:customStyle="1" w:styleId="3111">
    <w:name w:val="Нет списка3111"/>
    <w:next w:val="a2"/>
    <w:semiHidden/>
  </w:style>
  <w:style w:type="numbering" w:customStyle="1" w:styleId="52">
    <w:name w:val="Нет списка52"/>
    <w:next w:val="a2"/>
    <w:uiPriority w:val="99"/>
    <w:semiHidden/>
    <w:unhideWhenUsed/>
  </w:style>
  <w:style w:type="numbering" w:customStyle="1" w:styleId="111112">
    <w:name w:val="Нет списка111112"/>
    <w:next w:val="a2"/>
    <w:semiHidden/>
  </w:style>
  <w:style w:type="numbering" w:customStyle="1" w:styleId="610">
    <w:name w:val="Нет списка61"/>
    <w:next w:val="a2"/>
    <w:uiPriority w:val="99"/>
    <w:semiHidden/>
    <w:unhideWhenUsed/>
  </w:style>
  <w:style w:type="numbering" w:customStyle="1" w:styleId="131">
    <w:name w:val="Нет списка131"/>
    <w:next w:val="a2"/>
    <w:uiPriority w:val="99"/>
    <w:semiHidden/>
    <w:unhideWhenUsed/>
  </w:style>
  <w:style w:type="table" w:customStyle="1" w:styleId="214">
    <w:name w:val="Сетка таблицы2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1"/>
    <w:next w:val="a2"/>
    <w:semiHidden/>
  </w:style>
  <w:style w:type="numbering" w:customStyle="1" w:styleId="11121">
    <w:name w:val="Нет списка11121"/>
    <w:next w:val="a2"/>
    <w:semiHidden/>
  </w:style>
  <w:style w:type="numbering" w:customStyle="1" w:styleId="221">
    <w:name w:val="Нет списка221"/>
    <w:next w:val="a2"/>
    <w:semiHidden/>
  </w:style>
  <w:style w:type="numbering" w:customStyle="1" w:styleId="321">
    <w:name w:val="Нет списка321"/>
    <w:next w:val="a2"/>
    <w:semiHidden/>
  </w:style>
  <w:style w:type="numbering" w:customStyle="1" w:styleId="411">
    <w:name w:val="Нет списка411"/>
    <w:next w:val="a2"/>
    <w:semiHidden/>
  </w:style>
  <w:style w:type="numbering" w:customStyle="1" w:styleId="1211">
    <w:name w:val="Нет списка1211"/>
    <w:next w:val="a2"/>
    <w:semiHidden/>
  </w:style>
  <w:style w:type="numbering" w:customStyle="1" w:styleId="2121">
    <w:name w:val="Нет списка2121"/>
    <w:next w:val="a2"/>
    <w:semiHidden/>
  </w:style>
  <w:style w:type="numbering" w:customStyle="1" w:styleId="3121">
    <w:name w:val="Нет списка3121"/>
    <w:next w:val="a2"/>
    <w:semiHidden/>
  </w:style>
  <w:style w:type="numbering" w:customStyle="1" w:styleId="511">
    <w:name w:val="Нет списка511"/>
    <w:next w:val="a2"/>
    <w:uiPriority w:val="99"/>
    <w:semiHidden/>
    <w:unhideWhenUsed/>
  </w:style>
  <w:style w:type="numbering" w:customStyle="1" w:styleId="111121">
    <w:name w:val="Нет списка111121"/>
    <w:next w:val="a2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FedutinovaSV</cp:lastModifiedBy>
  <cp:revision>16</cp:revision>
  <cp:lastPrinted>2025-04-16T07:06:00Z</cp:lastPrinted>
  <dcterms:created xsi:type="dcterms:W3CDTF">2025-04-08T11:52:00Z</dcterms:created>
  <dcterms:modified xsi:type="dcterms:W3CDTF">2026-05-04T08:29:00Z</dcterms:modified>
</cp:coreProperties>
</file>